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3111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3111A" w:rsidRDefault="007B4BC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3111A" w:rsidRDefault="007B4BCC">
            <w:pPr>
              <w:spacing w:after="0" w:line="240" w:lineRule="auto"/>
            </w:pPr>
            <w:r>
              <w:t>33097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3111A" w:rsidRDefault="007B4BC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3111A" w:rsidRDefault="007B4BCC">
            <w:pPr>
              <w:spacing w:after="0" w:line="240" w:lineRule="auto"/>
            </w:pPr>
            <w:r>
              <w:t>OPĆINA DONJI VIDOVEC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3111A" w:rsidRDefault="007B4BC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3111A" w:rsidRDefault="007B4BCC">
            <w:pPr>
              <w:spacing w:after="0" w:line="240" w:lineRule="auto"/>
            </w:pPr>
            <w:r>
              <w:t>22</w:t>
            </w:r>
          </w:p>
        </w:tc>
      </w:tr>
    </w:tbl>
    <w:p w:rsidR="0023111A" w:rsidRDefault="007B4BCC">
      <w:r>
        <w:br/>
      </w:r>
    </w:p>
    <w:p w:rsidR="0023111A" w:rsidRDefault="007B4BC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3111A" w:rsidRDefault="007B4BC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3111A" w:rsidRDefault="007B4BC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876.826,57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1.084.763,13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476.563,41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540.089,94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400.263,16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544.673,19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136,1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35.597,96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255.439,64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786.092,95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307,7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255.255,51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750.494,99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294,0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71.891,56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66.361,44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92,3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272.183,24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Odgovorna osoba Općine Donji Vidovec je Bojana Petrić, općinska načelnica. Bilješke uz financijske izvještaje sastavlja Tatjana Kivač. Manjak prihoda i primitaka je nastao zbog projekta završavanja zgrade Dječjeg vrtića.</w:t>
      </w:r>
    </w:p>
    <w:p w:rsidR="0023111A" w:rsidRDefault="007B4BCC">
      <w:r>
        <w:br/>
      </w:r>
    </w:p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554.985,03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403.848,73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Tokom 2024. godine je na 611111 knjiženo Fiskalno izravnanje koje od ove godine ima svoj konto 63531.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5.944,66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3730,3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2025. HT uplatio pravo služnosti i naplaćen stari dug LP Kruna za dvije godine.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74.812,19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84.927,39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Tu se nalaze prihodi za sufinanciranje komunalnog redara, fikskalnu održivost vrtića i sufinanciranje prijevoza od strane Međimurkse županije.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6.871,03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HZZ za javne radove.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Prihod za sufinanciranje kanalizacije temeljem prijavljenog projekta od strane Međimurskih voda.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241.205,47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2024. se pomoć fiskalnog izravnanja knjižila na kontu 611111.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52.959,83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146.352,82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276,3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APPRRR preko Laga za potraživanje iz 2024. za spremište uz DVD - 15.935,29,  a ostatak za zgradu Dječjeg vrtića.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65,6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2024. proizvedeno više struje pa je bila i veća hidrorenta.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Legalizacija.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2025. kupljeno više grobnih mjesta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11.694,55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228,8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Nasljedstvo 6.959,92 u 2025. godini.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27.483,78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33.579,01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Veća naplata prihoda zbog slanja opomena svim dužnicima.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29,2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lastRenderedPageBreak/>
        <w:t>Do 2024. Općina ubirala NUV te naplaćivala 10% provizije, a u 2025. se naplaćuje samo za naplatu starijeg dugovanja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17.301,31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Ošasna imovina u 2024. godini.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102.760,54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155.459,99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151,3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2024. je pročelnica bila na porodiljnom dopustu i nije uzeta zamjena za nju, a u 2025. se vratila na posao.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Ulagalo se u edukaciju zaposlenika.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21.115,57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Povećana potrošnja plina zbog jače zime, a zbog učestalih provala javna rasvjeta svijetli cijele noći.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243,9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Nabavljena kosilica, 7 zastava i S aparati u 2025.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64,0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Nabavljena kosilica, 7 zastava i S aparati u 2025.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Povećani izdaci zbog slanja opomena dužnicima.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12.497,50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274,9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2025. napravljen energetski pregled javne rasvjete i povećana snaga EE u objektu NK.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21.158,68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29.003,10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lastRenderedPageBreak/>
        <w:t>Povećanje zbog odvjetničkih usluga.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8,7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Provizija za naplatu prihoda u 2025. knjižena na 32959.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Izbori u 2025. i donesena odluka o isplati naknade za sjednice Općinskog vijeća.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63.686,29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4.716,73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7,4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2024. isplaćena naknada po sudskoj presudi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Provizija u 2024. knjižena na 323991.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149,1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2025. troškovi izbora i veći troškovi za obilježavanje Dana  Općine i troška izbora.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JVP.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29.322,01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 2024. ulaganje u kanalizaciju, a u 2025. uz to i pomoć za sanaciju krovišta u OŠ.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96.519,73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142.998,90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148,2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Veća ekonomska cijena vrtića i više upisane djece.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411,2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lastRenderedPageBreak/>
        <w:t>Sufinanciranje pomagača u nastavi i školskog radnog materijala.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donacije u </w:t>
            </w:r>
            <w:r>
              <w:rPr>
                <w:sz w:val="18"/>
              </w:rPr>
              <w:t>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19.192,80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28.808,05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Uz redovne donacije u 2025.  donesena odluka o izravnoj dodjeli sredstava te donacija GKP PRE-KOM-u za plaćanje jedinične naknade za odlaganje otpada.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35.511,73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Ošasna imovina i prodaja građevinskog zemljišta.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150.854,74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640.823,29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424,8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Ulaganja u Dječji vrtić i Poslovni centar.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87.283,59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Ulaganja u zgradu DVD-a.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59.798,25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Ulaganje u opremu za Dječji vrtić i kameru za mjerenje brzine.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Prosječan broj zaposlenih u tijelima na osnovi stanja na početku i na kraju izvještajnog </w:t>
            </w:r>
            <w:r>
              <w:rPr>
                <w:sz w:val="18"/>
              </w:rPr>
              <w:t>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Uposlen komunalni redar.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159.974,13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298.434,54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186,6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Inventura zemljišta.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167,9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Nabavljena dva mobitela.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108.720,29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Oprema za Dječji vrtić i kamera za mjerenje brzine.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404,6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Predujma LAG-u za predfinanciranje projekta Zlatarske avanture.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120.082,66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ZNS za zgradu vrtića.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od prodaje proizvedene dugotrajne </w:t>
            </w:r>
            <w:r>
              <w:rPr>
                <w:sz w:val="18"/>
              </w:rPr>
              <w:t>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Potraživanje za stanove 12/2025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161.934,69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3452,8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lastRenderedPageBreak/>
        <w:t>Nedospjeli računi za radove u 12/2025 na zgradi vrtića.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386.297,06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114.113,82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Napravljena korekcija rezulata za sljedeća konta:</w:t>
      </w:r>
    </w:p>
    <w:p w:rsidR="0023111A" w:rsidRDefault="007B4BCC">
      <w:r>
        <w:t>633211 =30.000,00</w:t>
      </w:r>
      <w:r>
        <w:br/>
        <w:t>633212 =26.500,00</w:t>
      </w:r>
      <w:r>
        <w:br/>
        <w:t>638211 =15.935,29</w:t>
      </w:r>
      <w:r>
        <w:br/>
        <w:t>638210 =130.417,53</w:t>
      </w:r>
      <w:r>
        <w:br/>
        <w:t>UKUPNO =202.852,82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2.029.077,60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2.548.338,58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Pojašnjenje u obveznim analitičkim podacima.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Gospodarenje otpadnim vodama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29.322,01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2,7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Kanalizacija.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Obitelj i djeca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142.973,89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639.849,73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447,5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lastRenderedPageBreak/>
        <w:t>Radovi na zgradi budućeg vrtića.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Otpis zastarjelih potraživanja za komunalnu naknadu.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31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11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2311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</w:t>
            </w:r>
            <w:r>
              <w:rPr>
                <w:sz w:val="18"/>
              </w:rPr>
              <w:t xml:space="preserve">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11A" w:rsidRDefault="007B4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11A" w:rsidRDefault="0023111A">
      <w:pPr>
        <w:spacing w:after="0"/>
      </w:pPr>
    </w:p>
    <w:p w:rsidR="0023111A" w:rsidRDefault="007B4BCC">
      <w:r>
        <w:t>Općina nema nepodmirene dospjele obveze.</w:t>
      </w:r>
    </w:p>
    <w:p w:rsidR="0023111A" w:rsidRDefault="0023111A"/>
    <w:p w:rsidR="0023111A" w:rsidRDefault="007B4BCC">
      <w:pPr>
        <w:keepNext/>
        <w:spacing w:line="240" w:lineRule="auto"/>
        <w:jc w:val="center"/>
      </w:pPr>
      <w:r>
        <w:rPr>
          <w:sz w:val="28"/>
        </w:rPr>
        <w:t>Bilješka 52.</w:t>
      </w:r>
    </w:p>
    <w:p w:rsidR="0023111A" w:rsidRDefault="007B4BCC">
      <w:pPr>
        <w:spacing w:line="240" w:lineRule="auto"/>
        <w:jc w:val="both"/>
      </w:pPr>
      <w:r>
        <w:rPr>
          <w:b/>
        </w:rPr>
        <w:t>EU izvještaj</w:t>
      </w:r>
    </w:p>
    <w:p w:rsidR="0023111A" w:rsidRDefault="007B4BCC">
      <w:r>
        <w:t>U EU izvještaju izvora 581 je ulaganje u Dječji vrtić za što je primljeni predujam 815.</w:t>
      </w:r>
    </w:p>
    <w:p w:rsidR="0023111A" w:rsidRDefault="007B4BCC">
      <w:r>
        <w:t>U 2025. su primjena sredstva LAG-a izvor 565 za ulaganje u 2024. - Spremište uz DV.</w:t>
      </w:r>
    </w:p>
    <w:p w:rsidR="0023111A" w:rsidRDefault="0023111A"/>
    <w:sectPr w:rsidR="0023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1A"/>
    <w:rsid w:val="0023111A"/>
    <w:rsid w:val="007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E2D7D-6B2D-4A02-9D7F-AA93DB11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2</cp:revision>
  <dcterms:created xsi:type="dcterms:W3CDTF">2026-02-16T17:05:00Z</dcterms:created>
  <dcterms:modified xsi:type="dcterms:W3CDTF">2026-02-16T17:05:00Z</dcterms:modified>
</cp:coreProperties>
</file>